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318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78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/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4BACC6" w:themeFill="accent5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318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31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397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0CA17A14"/>
    <w:rsid w:val="13DA623E"/>
    <w:rsid w:val="15860C23"/>
    <w:rsid w:val="1AC27A2C"/>
    <w:rsid w:val="241F2F6C"/>
    <w:rsid w:val="2512069A"/>
    <w:rsid w:val="27FC4772"/>
    <w:rsid w:val="2D79041E"/>
    <w:rsid w:val="392A6560"/>
    <w:rsid w:val="39A1531A"/>
    <w:rsid w:val="41E9571B"/>
    <w:rsid w:val="4C5067D2"/>
    <w:rsid w:val="4E2D4270"/>
    <w:rsid w:val="53F57C9C"/>
    <w:rsid w:val="54484523"/>
    <w:rsid w:val="583F5C3D"/>
    <w:rsid w:val="5C25644C"/>
    <w:rsid w:val="5DB708C4"/>
    <w:rsid w:val="613D2F35"/>
    <w:rsid w:val="65910CBA"/>
    <w:rsid w:val="65D8147F"/>
    <w:rsid w:val="672B1886"/>
    <w:rsid w:val="6BCF614B"/>
    <w:rsid w:val="6D194857"/>
    <w:rsid w:val="76D812DE"/>
    <w:rsid w:val="7C6F62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2022-03-31T06:26:29Z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A0E0EFB7D0B242BBBD1C680FF930DDB6</vt:lpwstr>
  </property>
</Properties>
</file>