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ESTIMATE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drawing>
                <wp:inline distT="114300" distB="114300" distL="114300" distR="114300">
                  <wp:extent cx="437515" cy="400685"/>
                  <wp:effectExtent l="0" t="0" r="635" b="18415"/>
                  <wp:docPr id="1" name="image1.png" descr="E:\InvoiceOwl\Invoices\Landscaping\Logo in light green.pngLogo in light gre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E:\InvoiceOwl\Invoices\Landscaping\Logo in light green.pngLogo in light green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086" cy="40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Estimate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98A76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estimate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of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BF902B7"/>
    <w:rsid w:val="6AC71286"/>
    <w:rsid w:val="77E828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14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2022-02-15T05:09:56Z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56109ABB54A94063871839350C10A426</vt:lpwstr>
  </property>
</Properties>
</file>