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restart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tcW w:w="88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683260" cy="718185"/>
                  <wp:effectExtent l="0" t="0" r="2540" b="5715"/>
                  <wp:docPr id="2" name="Picture 2" descr="E:\InvoiceOwl\Invoices\Contractor\logo1.pn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nvoiceOwl\Invoices\Contractor\logo1.png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1155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6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7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invoice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 xml:space="preserve">. To learn more, and create your own free account visit 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sz w:val="12"/>
                <w:szCs w:val="12"/>
                <w:lang w:val="en-IN"/>
              </w:rPr>
              <w:t>invoiceowl.com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sz w:val="12"/>
                <w:szCs w:val="12"/>
                <w:lang w:val="en-IN"/>
              </w:rPr>
              <w:t xml:space="preserve"> 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1710690" cy="330200"/>
                  <wp:effectExtent l="0" t="0" r="0" b="0"/>
                  <wp:docPr id="3" name="Picture 3" descr="Power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ower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9656FC"/>
    <w:rsid w:val="0BCA54D4"/>
    <w:rsid w:val="103370F4"/>
    <w:rsid w:val="33657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2021-08-02T08:30:00Z</dcterms:created>
  <dc:creator>SOTSYS130</dc:creator>
  <cp:lastModifiedBy>SOTSYS130</cp:lastModifiedBy>
  <dcterms:modified xsi:type="dcterms:W3CDTF">2021-08-12T11:58:22Z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D390706F853B49DBA12AAA7A0A09C0DB</vt:lpwstr>
  </property>
</Properties>
</file>