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243F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8955" cy="345440"/>
                  <wp:effectExtent l="0" t="0" r="4445" b="16510"/>
                  <wp:docPr id="1" name="image1.png" descr="C:\Users\Sotsys-130\Documents\Projects\InvoiceOwl\Estimates\Flooring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Flooring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0"/>
                <w:szCs w:val="40"/>
              </w:rPr>
            </w:pPr>
            <w:r>
              <w:rPr>
                <w:b/>
                <w:color w:val="254061"/>
                <w:sz w:val="40"/>
                <w:szCs w:val="40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D5D3A1C"/>
    <w:rsid w:val="339D2186"/>
    <w:rsid w:val="3EF87EC2"/>
    <w:rsid w:val="41574CC8"/>
    <w:rsid w:val="440F4757"/>
    <w:rsid w:val="49CA231C"/>
    <w:rsid w:val="49FE6B75"/>
    <w:rsid w:val="574462DE"/>
    <w:rsid w:val="69D26F32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2022-04-07T13:00:34Z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B65C39BAAAAE42E19BD15D1DDD781A01</vt:lpwstr>
  </property>
</Properties>
</file>